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520" w:rsidRPr="00BC7520" w:rsidRDefault="00BC7520" w:rsidP="00BC7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C7520" w:rsidRPr="00BC7520" w:rsidRDefault="00BC7520" w:rsidP="00BC752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BC7520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:rsidR="00BC7520" w:rsidRPr="00BC7520" w:rsidRDefault="00BC7520" w:rsidP="00BC752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Contract: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22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hours per week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Fixed term- until July 2022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Would you like to take on a new opportunity and make a difference in a young person's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future?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The successful candidate will be working with pupils with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pupils in Pre-Nursery/Nursery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t>. You will be supporting the pupils on either a 1:1, group or within the class setting, improving the quality of learning for all.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We are looking for someone who: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- Has experience of working across the primary age range, specifically in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Nursery/Pre-Nursery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- Loves working with children of all abilities; being able to forge positive relationships quickly.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- Can lead by example and will embody our school motto.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- Works well as team and will embrace our school ethos.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If this sounds like you and a role that you would enjoy, please look carefully at the following materials and complete the application form.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The school is committed to safeguarding and promoting the welfare of children and expects all staff to share this commitment. The post is subject to a successful DBS clearance (certificate of disclosure form from the Disclosure and Barring Service) and pre-employment checks will be undertaken before an appointment is confirmed.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Application packs are available from the school. Please email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Kay Rowe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office@handale.rac.sch.uk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t> or phone the school to request an application pack on 01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287 640416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All completed application packs must be returned directly to the school or emailed and marked for the attention of the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Kay Rowe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t>, Office Manager.</w:t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C75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Visits to the school are encouraged and can be arranged by contacting the Office Manager.</w:t>
      </w:r>
    </w:p>
    <w:p w:rsidR="00BC7520" w:rsidRPr="00BC7520" w:rsidRDefault="00BC7520" w:rsidP="00BC752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BC7520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C10E0F" w:rsidRDefault="00C10E0F"/>
    <w:sectPr w:rsidR="00C10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A3136"/>
    <w:multiLevelType w:val="multilevel"/>
    <w:tmpl w:val="4744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20"/>
    <w:rsid w:val="00BC7520"/>
    <w:rsid w:val="00C1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0AF0B"/>
  <w15:chartTrackingRefBased/>
  <w15:docId w15:val="{D12A0C34-BC37-41D8-8EA3-725E6438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2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1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7098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9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2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2505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20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65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71381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45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85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00443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95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0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0785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73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42984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6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98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30621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70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73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1022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1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29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95760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08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03559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91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43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638147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3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82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Padgett, Nicola</dc:creator>
  <cp:keywords/>
  <dc:description/>
  <cp:lastModifiedBy>Padgett, Nicola</cp:lastModifiedBy>
  <cp:revision>1</cp:revision>
  <dcterms:created xsi:type="dcterms:W3CDTF">2022-03-10T11:11:00Z</dcterms:created>
  <dcterms:modified xsi:type="dcterms:W3CDTF">2022-03-10T11:15:00Z</dcterms:modified>
</cp:coreProperties>
</file>